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41" w:rsidRPr="00B9628B" w:rsidRDefault="00A5359F" w:rsidP="00582C41">
      <w:pPr>
        <w:tabs>
          <w:tab w:val="left" w:pos="10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r w:rsidR="00582C41">
        <w:rPr>
          <w:rFonts w:ascii="Times New Roman" w:hAnsi="Times New Roman" w:cs="Times New Roman"/>
          <w:b/>
          <w:sz w:val="28"/>
          <w:szCs w:val="28"/>
        </w:rPr>
        <w:t>1.</w:t>
      </w:r>
      <w:r w:rsidR="00582C41" w:rsidRPr="00B9628B">
        <w:rPr>
          <w:rFonts w:ascii="Times New Roman" w:hAnsi="Times New Roman" w:cs="Times New Roman"/>
          <w:b/>
          <w:sz w:val="28"/>
          <w:szCs w:val="28"/>
        </w:rPr>
        <w:t>Индекс потребительских цен.</w:t>
      </w:r>
    </w:p>
    <w:p w:rsidR="00582C41" w:rsidRPr="00B9628B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9628B">
        <w:rPr>
          <w:rFonts w:ascii="Times New Roman" w:hAnsi="Times New Roman" w:cs="Times New Roman"/>
          <w:sz w:val="28"/>
          <w:szCs w:val="28"/>
        </w:rPr>
        <w:t>В июне 2020г индекс потребительских цен вырос на  2,9 %  по отношению к  декабрю 2019г. Причем на продовольственные товары индекс  потребительских цен вырос на 5,75 % , на непродовольственные товары на 1,4 %, на услуги на 0,4%.  За полгода существенное влияние на динамику потребительских цен на продовольственные товары оказало увеличение цен на крупы и бобовые</w:t>
      </w:r>
      <w:r>
        <w:rPr>
          <w:rFonts w:ascii="Times New Roman" w:hAnsi="Times New Roman" w:cs="Times New Roman"/>
          <w:sz w:val="28"/>
          <w:szCs w:val="28"/>
        </w:rPr>
        <w:t xml:space="preserve">, что было связано с введением режима повышенной готовности в Республике Северная Осетия- Алания  из-за распространения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0834FA">
        <w:rPr>
          <w:rFonts w:ascii="Times New Roman" w:hAnsi="Times New Roman" w:cs="Times New Roman"/>
          <w:sz w:val="28"/>
          <w:szCs w:val="28"/>
        </w:rPr>
        <w:t>- 19</w:t>
      </w:r>
      <w:r w:rsidRPr="00B96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C41" w:rsidRPr="00B9628B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28B">
        <w:rPr>
          <w:rFonts w:ascii="Times New Roman" w:hAnsi="Times New Roman" w:cs="Times New Roman"/>
          <w:sz w:val="28"/>
          <w:szCs w:val="28"/>
        </w:rPr>
        <w:t xml:space="preserve">    По оценке текущего 202</w:t>
      </w:r>
      <w:r>
        <w:rPr>
          <w:rFonts w:ascii="Times New Roman" w:hAnsi="Times New Roman" w:cs="Times New Roman"/>
          <w:sz w:val="28"/>
          <w:szCs w:val="28"/>
        </w:rPr>
        <w:t>0 года</w:t>
      </w:r>
      <w:r w:rsidRPr="00B9628B">
        <w:rPr>
          <w:rFonts w:ascii="Times New Roman" w:hAnsi="Times New Roman" w:cs="Times New Roman"/>
          <w:sz w:val="28"/>
          <w:szCs w:val="28"/>
        </w:rPr>
        <w:t xml:space="preserve"> индекс потребительских цен по отношению к 2019г повышается в среднем на </w:t>
      </w:r>
      <w:r>
        <w:rPr>
          <w:rFonts w:ascii="Times New Roman" w:hAnsi="Times New Roman" w:cs="Times New Roman"/>
          <w:sz w:val="28"/>
          <w:szCs w:val="28"/>
        </w:rPr>
        <w:t>2,5 %.</w:t>
      </w:r>
    </w:p>
    <w:p w:rsidR="00582C41" w:rsidRPr="00B9628B" w:rsidRDefault="00976BC6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прогнозу на 2021-2023</w:t>
      </w:r>
      <w:r w:rsidR="00582C41">
        <w:rPr>
          <w:rFonts w:ascii="Times New Roman" w:hAnsi="Times New Roman" w:cs="Times New Roman"/>
          <w:sz w:val="28"/>
          <w:szCs w:val="28"/>
        </w:rPr>
        <w:t xml:space="preserve"> гг.</w:t>
      </w:r>
      <w:r w:rsidR="00582C41" w:rsidRPr="00B9628B">
        <w:rPr>
          <w:rFonts w:ascii="Times New Roman" w:hAnsi="Times New Roman" w:cs="Times New Roman"/>
          <w:sz w:val="28"/>
          <w:szCs w:val="28"/>
        </w:rPr>
        <w:t xml:space="preserve"> индекс пот</w:t>
      </w:r>
      <w:r w:rsidR="00582C41">
        <w:rPr>
          <w:rFonts w:ascii="Times New Roman" w:hAnsi="Times New Roman" w:cs="Times New Roman"/>
          <w:sz w:val="28"/>
          <w:szCs w:val="28"/>
        </w:rPr>
        <w:t xml:space="preserve">ребительских цен к уровню 2019г. при благоприятном </w:t>
      </w:r>
      <w:r w:rsidR="00582C41" w:rsidRPr="00B9628B">
        <w:rPr>
          <w:rFonts w:ascii="Times New Roman" w:hAnsi="Times New Roman" w:cs="Times New Roman"/>
          <w:sz w:val="28"/>
          <w:szCs w:val="28"/>
        </w:rPr>
        <w:t>варианте повышается незначительно на</w:t>
      </w:r>
      <w:r w:rsidR="00582C41">
        <w:rPr>
          <w:rFonts w:ascii="Times New Roman" w:hAnsi="Times New Roman" w:cs="Times New Roman"/>
          <w:sz w:val="28"/>
          <w:szCs w:val="28"/>
        </w:rPr>
        <w:t xml:space="preserve"> 3,1</w:t>
      </w:r>
      <w:r w:rsidR="00582C41" w:rsidRPr="00B9628B">
        <w:rPr>
          <w:rFonts w:ascii="Times New Roman" w:hAnsi="Times New Roman" w:cs="Times New Roman"/>
          <w:sz w:val="28"/>
          <w:szCs w:val="28"/>
        </w:rPr>
        <w:t xml:space="preserve"> % </w:t>
      </w:r>
      <w:r w:rsidR="00582C41">
        <w:rPr>
          <w:rFonts w:ascii="Times New Roman" w:hAnsi="Times New Roman" w:cs="Times New Roman"/>
          <w:sz w:val="28"/>
          <w:szCs w:val="28"/>
        </w:rPr>
        <w:t>, при консервативном варианте на 3,2 %</w:t>
      </w:r>
      <w:r w:rsidR="00582C41" w:rsidRPr="00B9628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82C41" w:rsidRPr="00B9628B" w:rsidRDefault="00582C41" w:rsidP="00582C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9628B">
        <w:rPr>
          <w:rFonts w:ascii="Times New Roman" w:hAnsi="Times New Roman" w:cs="Times New Roman"/>
          <w:sz w:val="28"/>
          <w:szCs w:val="28"/>
        </w:rPr>
        <w:t xml:space="preserve">Ключевым риском текущего прогноза является возможность ухудшения ситуации в мировой </w:t>
      </w:r>
      <w:r>
        <w:rPr>
          <w:rFonts w:ascii="Times New Roman" w:hAnsi="Times New Roman" w:cs="Times New Roman"/>
          <w:sz w:val="28"/>
          <w:szCs w:val="28"/>
        </w:rPr>
        <w:t>экономике</w:t>
      </w:r>
      <w:r w:rsidRPr="00B9628B">
        <w:rPr>
          <w:rFonts w:ascii="Times New Roman" w:hAnsi="Times New Roman" w:cs="Times New Roman"/>
          <w:sz w:val="28"/>
          <w:szCs w:val="28"/>
        </w:rPr>
        <w:t>, в том числе в краткосрочной перспективе в связи с ухудшением эпидемиологической обстановки .</w:t>
      </w: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305AE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2. Численность постоянного населения муниципального района (среднегодовая).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Демографическая ситуация является одним из важнейших показателей социальной обстановки и главным критерием оценки качества жизни населения.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Главной задачей в сфере демографии по-прежнему остается уменьшение остроты демографического кризиса, снижение темпов естественной убыли населения.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>По данным Северо-Кавказстата, на 01.01.20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 г. среднегодовая численность постоянного населен</w:t>
      </w:r>
      <w:r>
        <w:rPr>
          <w:rFonts w:ascii="Times New Roman" w:eastAsia="Times New Roman" w:hAnsi="Times New Roman" w:cs="Times New Roman"/>
          <w:sz w:val="28"/>
          <w:szCs w:val="28"/>
        </w:rPr>
        <w:t>ия МО Пригородный  район за 2019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составила 101,655 тыс. человек, что ниже уровня 2018 года на 1,03%.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Число родившихся в 2019 году составило 1056 человек и уменьшилось незначительно к уровню 2018 года всего на 12 человек или на 1,1%. Коэффициент рождаемости - 10,4.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Число умерших также уменьшилось на 29 человек и составило 843 человека или на 3,3% меньше к уровню 2018 года. Коэффициент смертности - 8,3.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Естественный прирост населения составил 213 человек.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Существенным фактором, влияющим на демографическую ситуацию в районе остается миграция. 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Так, за отчетный период количество прибывших составило 882 человека, что меньше по сравнению с 2018 годом на 671 человек,  количество выбывших тоже уменьшилось на 871 человек и составило 1725 человек.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По оценке 2020 года среднегодовая численность постоянного населения ожидается на уровне 102300 человек, т.е. на 0,6% больше.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По консервативному варианту демографические показатели на 2021-2023 годы прогнозируются увеличением среднегодовой численности населения в среднем на 835 человек, или на 0,8 %.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При благоприятном варианте планируется увеличение численности на 1345 человек или на 1,3 %.</w:t>
      </w:r>
    </w:p>
    <w:p w:rsidR="00582C41" w:rsidRDefault="00582C41" w:rsidP="00305AE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3. Численность занятых в экономике 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муниципального района, за год.</w:t>
      </w:r>
    </w:p>
    <w:p w:rsidR="00582C41" w:rsidRPr="00A661E4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Численность занятых в экономике муниципального района за 2019 год составила 12419 человек или  100,4% к уровню 2018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разрезе отраслей экономической деятельности наибольшую долю занятых в экономике составляют: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торговля оптовая и розничная, ремонт автотранспортных средств – 21%, сельское хозяйство – 15,2 %, обрабатывающее производство –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13,6 %, строительство – 9,7 %, образование – 9,5 %, деятельность по операциям с недвижимым имуществом – 3,6 %, деятельность в области культуры, спорта, организации досуга – 3,0%, деятельность в области здравоохранения и социальных услуг – 2,7 %, деятельность гостиниц и предприятий общественного питания – 1,4%.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Исходя из ситуации, которая сложилась как в целом по республике, так и в районе из-за пандемии коронавируса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655C">
        <w:rPr>
          <w:rFonts w:ascii="Times New Roman" w:hAnsi="Times New Roman" w:cs="Times New Roman"/>
          <w:sz w:val="28"/>
          <w:szCs w:val="28"/>
        </w:rPr>
        <w:t>-19) прогнозируется</w:t>
      </w:r>
      <w:r>
        <w:rPr>
          <w:rFonts w:ascii="Times New Roman" w:hAnsi="Times New Roman" w:cs="Times New Roman"/>
          <w:sz w:val="28"/>
          <w:szCs w:val="28"/>
        </w:rPr>
        <w:t xml:space="preserve"> на 2021 год снижение численности занятых в экономике на 1,6%.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то же время на прогнозный период при благоприятном варианте, 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 до 4,5 %.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5AE4" w:rsidRDefault="00305AE4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lastRenderedPageBreak/>
        <w:t>4. Среднесписочная числ</w:t>
      </w:r>
      <w:r>
        <w:rPr>
          <w:rFonts w:ascii="Times New Roman" w:hAnsi="Times New Roman" w:cs="Times New Roman"/>
          <w:b/>
          <w:sz w:val="28"/>
          <w:szCs w:val="28"/>
        </w:rPr>
        <w:t xml:space="preserve">енность работников организаций 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C4EA2">
        <w:rPr>
          <w:rFonts w:ascii="Times New Roman" w:hAnsi="Times New Roman" w:cs="Times New Roman"/>
          <w:b/>
          <w:sz w:val="28"/>
          <w:szCs w:val="28"/>
        </w:rPr>
        <w:t>без субъек</w:t>
      </w:r>
      <w:r>
        <w:rPr>
          <w:rFonts w:ascii="Times New Roman" w:hAnsi="Times New Roman" w:cs="Times New Roman"/>
          <w:b/>
          <w:sz w:val="28"/>
          <w:szCs w:val="28"/>
        </w:rPr>
        <w:t>тов малого предпринимательства),</w:t>
      </w:r>
      <w:r w:rsidRPr="00CC4EA2">
        <w:rPr>
          <w:rFonts w:ascii="Times New Roman" w:hAnsi="Times New Roman" w:cs="Times New Roman"/>
          <w:b/>
          <w:sz w:val="28"/>
          <w:szCs w:val="28"/>
        </w:rPr>
        <w:t xml:space="preserve"> за год.</w:t>
      </w:r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3DA4">
        <w:rPr>
          <w:rFonts w:ascii="Times New Roman" w:hAnsi="Times New Roman" w:cs="Times New Roman"/>
          <w:b w:val="0"/>
          <w:sz w:val="28"/>
          <w:szCs w:val="28"/>
        </w:rPr>
        <w:t>Среднесписочная численность работников (без субъектов малого предпринимательства)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2019 г. составила 6,5 тыс. человек,  что больше 2018 года на 16%. Численность работников организаций в районе увеличилась в связи с открытием дошкольных учреждений, групп в дошкольных учреждениях, учреждений здравоохранения, а также постановкой на налоговый учет АО «Спецтепломонтаж» с численностью работников более 300 человек.</w:t>
      </w:r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Численность работников организаций по оценке 2020 года составит 6,6 или 101,5 % к предыдущему году.</w:t>
      </w:r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При благоприятном развитии социально-экономической ситуации в районе прогноз на 2021-2023 годы предполагает рост численности работников до 6,8 тыс. человек или 104,6% к уровню 2019 года.</w:t>
      </w:r>
    </w:p>
    <w:p w:rsidR="00582C41" w:rsidRPr="00305AE4" w:rsidRDefault="00582C41" w:rsidP="00305AE4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При менее благоприятных тенденциях развития рынка труда и демографической ситуации прогнозируется уменьшение численности работников до 3,0%.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5. Среднемесячная начисленная заработная плата работников организаций (без субъектов малого предпринимательства), за год.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2019 году среднемесячная номинальная начисленная заработная плата работников составила: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-муниципальных дошкольных образовательных учреждений – 16728,9 руб., что на 521,9 рублей (на 3,2%) больше,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муниципальных образовательных учреждений – 21489,8 руб., что на 271,8 руб. (1,3%) больше,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учителей муниципальных образовательных учреждений – 23545,0 руб., что на 57 руб. (0,2%) меньше,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муниципальных учреждений культуры и искусства – 20368,7 руб., что на 165,7 руб. или 0,8% больше 2018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-муниципальных учреждений физической культуры и спорта – 16482,5 руб., что на 4466,5 рублей или на 37% больше, чем в 2018 году.  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января текущего года также произведена индексация денежного содержания муниципальных служащих РСО – Алания, лиц замещающих муниципальные должности РСО –Алания, работников муниципальных органов, замещающих должности, не являющиеся должностями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гражданской службы РСО – Алания и иных категорий работников муниципальных учреждений на 4,3% фонда оплаты труда.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2020 году продолжится реализация Указов Президента РФ от 7 мая 2012 года №597, направленные на увеличение заработной платы работникам образовательных учреждений и работникам учреждений культуры, увеличением минимального размера оплаты труда с 11280 до 12130 рублей.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оценке текущего года размер среднемесячной начисленной заработной платы работников организации (</w:t>
      </w:r>
      <w:r w:rsidRPr="00567EF4">
        <w:rPr>
          <w:rFonts w:ascii="Times New Roman" w:hAnsi="Times New Roman" w:cs="Times New Roman"/>
          <w:sz w:val="28"/>
          <w:szCs w:val="28"/>
        </w:rPr>
        <w:t>без 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) составит 28663 руб. или 103,4% к уровню прошлого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консервативном варианте расчета прогноза социально-экономического развития предполагает ежегодное увеличение реальной заработной платы 2-6%.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благоприятном варианте рост заработной платы к уровню 2020 года составит: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105,5%,  2022 – 114,0%,  2023 – 125,3%.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6. Уровень зарегистрированной безработицы (на конец года).</w:t>
      </w:r>
    </w:p>
    <w:p w:rsidR="00582C41" w:rsidRPr="00CC4EA2" w:rsidRDefault="00582C41" w:rsidP="00582C4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Уровень зарегистрированной безработицы в МО Пригородный район в 2019 году составил 1,6% от общей численности экономически активного населения, что выше данного показателя по сравнению с  2018 г. на 0,9%.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 2019г. в Центр занятости населения по Пригородному району за содействием в поиске подходящей работы обратилось 1995чел., что на 281 чел., или 14,0 %  больше, чем за 2018г.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 числа обратившихся  официальный статус безработных получили 1686 чел.  Это   больше,  чем в 2018г. на 307 чел. или 18,2 %. 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 2019 г. в Центр занятости поступили сведения о 1320  вакансиях  от 209 работодателей. Вакансии по рабочим профессиям  составляют 67 %, по специалистам – 33%. Среди рабочих  лидирует  спрос на дворников, сторожей. Среди служащих спрос на такие профессии, как  учителя, врачи, медсестры, слесари.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 отчетный период было трудоустроено 24 чел. на вакантные места. 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Проведено 6 ярмарок, в них приняло участие 85 чел.,15 работодателей.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В специальных программах  занятости приняли участие 1923 чел., в том числе: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-организация  проведения оплачиваемых общественных работ – 47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-организация временного трудоустройства безработных граждан,  испытывающих  трудности в поиске работы – 14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-временное трудоустройство  несовершеннолетних  граждан в возрасте от 14 до 18 лет в свободное от учебы время – 93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-получили услуги по  профориентации – 1436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 социальной адаптации – 162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 психологической  поддержке – 164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направлено на стажировку – 7 чел.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Назначено пособие по безработице за отчетный год 1686 безработным гражданам (минимальный размер – 1500 руб.; максимальный – 8000 руб.).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Не все р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аботодатели  падают сведения о свободных рабочих местах. </w:t>
      </w: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Самые распространенные причины, затрудняющие подбор подходящей работы – это низкий уровень заработной платы, несоответствие спроса  и предложения рабочей силы, трудоустройство молодых людей, впервые ищущих работу, крайне </w:t>
      </w:r>
      <w:r w:rsidRPr="00CC4EA2">
        <w:rPr>
          <w:rFonts w:ascii="Times New Roman" w:eastAsia="Calibri" w:hAnsi="Times New Roman" w:cs="Times New Roman"/>
          <w:bCs/>
          <w:sz w:val="28"/>
          <w:szCs w:val="28"/>
        </w:rPr>
        <w:t>актуальной</w:t>
      </w: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 является проблема занятости и трудоустройства инвалидов ввиду того, что очень часто под абсолютно разными предлогами их не трудоустраивают. 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Служба занятости продолжит реализацию   программ занятости и выплату пособий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безработице и на период до 2023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По консервативному варианту в прогнозном периоде уровень безработицы вырастет  до </w:t>
      </w:r>
      <w:r>
        <w:rPr>
          <w:rFonts w:ascii="Times New Roman" w:eastAsia="Times New Roman" w:hAnsi="Times New Roman" w:cs="Times New Roman"/>
          <w:sz w:val="28"/>
          <w:szCs w:val="28"/>
        </w:rPr>
        <w:t>2,6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582C41" w:rsidRDefault="00582C41" w:rsidP="00582C41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По благоприятному варианту уровень безработицы снизится  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2,3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582C41" w:rsidRDefault="00582C41" w:rsidP="00305AE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31CD">
        <w:rPr>
          <w:rFonts w:ascii="Times New Roman" w:eastAsia="Times New Roman" w:hAnsi="Times New Roman" w:cs="Times New Roman"/>
          <w:b/>
          <w:sz w:val="28"/>
          <w:szCs w:val="28"/>
        </w:rPr>
        <w:t>7. Ввод в эксплуатацию жилых домов (общая площадь).</w:t>
      </w:r>
    </w:p>
    <w:p w:rsidR="00582C41" w:rsidRDefault="00582C41" w:rsidP="00582C41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C216E">
        <w:rPr>
          <w:rFonts w:ascii="Times New Roman" w:eastAsia="Times New Roman" w:hAnsi="Times New Roman" w:cs="Times New Roman"/>
          <w:sz w:val="28"/>
          <w:szCs w:val="28"/>
        </w:rPr>
        <w:t>Ввод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эксплуатацию жилых домов на территории района обеспечивается за счёт строительства и реконструкции индивидуальных жилых домов. </w:t>
      </w: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Строительство многоквартирных домов на территории района не ведется.</w:t>
      </w: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 2019 году введено в эксплуатацию 264 жилых домов, площадью 18,298 кв.м., что на 27,3 кв.м. больше, чем за аналогичный период 2018 года.</w:t>
      </w: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В прогнозном периоде в районе продолжится стабильный рост строительства жилых домов и по консервативному и по благоприятному вариантам.</w:t>
      </w:r>
    </w:p>
    <w:p w:rsidR="00582C41" w:rsidRPr="002C216E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582C41" w:rsidRDefault="00582C41" w:rsidP="00582C4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Pr="00A661E4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5768" w:rsidRDefault="00EE5768"/>
    <w:sectPr w:rsidR="00EE5768" w:rsidSect="00B961FA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E12"/>
    <w:rsid w:val="001252D9"/>
    <w:rsid w:val="00202180"/>
    <w:rsid w:val="002050E3"/>
    <w:rsid w:val="00305AE4"/>
    <w:rsid w:val="00582C41"/>
    <w:rsid w:val="006D6E12"/>
    <w:rsid w:val="00976BC6"/>
    <w:rsid w:val="00A5359F"/>
    <w:rsid w:val="00BB3BD5"/>
    <w:rsid w:val="00C95102"/>
    <w:rsid w:val="00D567BE"/>
    <w:rsid w:val="00EE5768"/>
    <w:rsid w:val="00F0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6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1512</Words>
  <Characters>8622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DINA</cp:lastModifiedBy>
  <cp:revision>10</cp:revision>
  <dcterms:created xsi:type="dcterms:W3CDTF">2020-07-20T09:09:00Z</dcterms:created>
  <dcterms:modified xsi:type="dcterms:W3CDTF">2020-07-28T10:03:00Z</dcterms:modified>
</cp:coreProperties>
</file>