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C1" w:rsidRDefault="006A1AC1" w:rsidP="006A1AC1">
      <w:pPr>
        <w:tabs>
          <w:tab w:val="left" w:pos="1014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A1AC1">
        <w:rPr>
          <w:rFonts w:ascii="Times New Roman" w:hAnsi="Times New Roman" w:cs="Times New Roman"/>
          <w:i/>
          <w:sz w:val="24"/>
          <w:szCs w:val="24"/>
        </w:rPr>
        <w:t>к решению</w:t>
      </w:r>
      <w:r>
        <w:rPr>
          <w:rFonts w:ascii="Times New Roman" w:hAnsi="Times New Roman" w:cs="Times New Roman"/>
          <w:i/>
          <w:sz w:val="24"/>
          <w:szCs w:val="24"/>
        </w:rPr>
        <w:t xml:space="preserve"> Собрания представителей </w:t>
      </w:r>
    </w:p>
    <w:p w:rsidR="006A1AC1" w:rsidRDefault="006A1AC1" w:rsidP="006A1AC1">
      <w:pPr>
        <w:tabs>
          <w:tab w:val="left" w:pos="1014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 Пригородный район от 31 июля 2020г. №247</w:t>
      </w:r>
    </w:p>
    <w:p w:rsidR="006A1AC1" w:rsidRPr="006A1AC1" w:rsidRDefault="006A1AC1" w:rsidP="006A1AC1">
      <w:pPr>
        <w:tabs>
          <w:tab w:val="left" w:pos="1014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82C41" w:rsidRPr="00B9628B" w:rsidRDefault="00582C41" w:rsidP="00582C41">
      <w:pPr>
        <w:tabs>
          <w:tab w:val="left" w:pos="101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65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628B">
        <w:rPr>
          <w:rFonts w:ascii="Times New Roman" w:hAnsi="Times New Roman" w:cs="Times New Roman"/>
          <w:b/>
          <w:sz w:val="28"/>
          <w:szCs w:val="28"/>
        </w:rPr>
        <w:t>Индекс потребительских цен.</w:t>
      </w:r>
    </w:p>
    <w:p w:rsidR="00582C41" w:rsidRPr="00B9628B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9628B">
        <w:rPr>
          <w:rFonts w:ascii="Times New Roman" w:hAnsi="Times New Roman" w:cs="Times New Roman"/>
          <w:sz w:val="28"/>
          <w:szCs w:val="28"/>
        </w:rPr>
        <w:t>В июне 2020г индекс потребительских цен вырос на  2,9 %  по отношению к  декабрю 2019г. Причем на продовольственные товары индекс  потребительских цен вырос на 5,75 % , на непродовольственные товары на 1,4 %, на услуги на 0,4%.  За полгода существенное влияние на динамику потребительских цен на продовольственные товары оказало увеличение цен на крупы и бобовые</w:t>
      </w:r>
      <w:r>
        <w:rPr>
          <w:rFonts w:ascii="Times New Roman" w:hAnsi="Times New Roman" w:cs="Times New Roman"/>
          <w:sz w:val="28"/>
          <w:szCs w:val="28"/>
        </w:rPr>
        <w:t>, что было связано с введением режима повышенной готовности в Республике Северная Осети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Алания  из-за распространения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0834FA">
        <w:rPr>
          <w:rFonts w:ascii="Times New Roman" w:hAnsi="Times New Roman" w:cs="Times New Roman"/>
          <w:sz w:val="28"/>
          <w:szCs w:val="28"/>
        </w:rPr>
        <w:t>- 19</w:t>
      </w:r>
      <w:r w:rsidRPr="00B96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2C41" w:rsidRPr="00B9628B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628B">
        <w:rPr>
          <w:rFonts w:ascii="Times New Roman" w:hAnsi="Times New Roman" w:cs="Times New Roman"/>
          <w:sz w:val="28"/>
          <w:szCs w:val="28"/>
        </w:rPr>
        <w:t xml:space="preserve">    По оценке текущего 202</w:t>
      </w:r>
      <w:r>
        <w:rPr>
          <w:rFonts w:ascii="Times New Roman" w:hAnsi="Times New Roman" w:cs="Times New Roman"/>
          <w:sz w:val="28"/>
          <w:szCs w:val="28"/>
        </w:rPr>
        <w:t>0 года</w:t>
      </w:r>
      <w:r w:rsidRPr="00B9628B">
        <w:rPr>
          <w:rFonts w:ascii="Times New Roman" w:hAnsi="Times New Roman" w:cs="Times New Roman"/>
          <w:sz w:val="28"/>
          <w:szCs w:val="28"/>
        </w:rPr>
        <w:t xml:space="preserve"> индекс потребительских цен по отношению к 2019г повышается в среднем на </w:t>
      </w:r>
      <w:r>
        <w:rPr>
          <w:rFonts w:ascii="Times New Roman" w:hAnsi="Times New Roman" w:cs="Times New Roman"/>
          <w:sz w:val="28"/>
          <w:szCs w:val="28"/>
        </w:rPr>
        <w:t>2,5 %.</w:t>
      </w:r>
    </w:p>
    <w:p w:rsidR="00582C41" w:rsidRPr="00B9628B" w:rsidRDefault="00D4487F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прогнозу на 2021-202</w:t>
      </w:r>
      <w:r w:rsidRPr="00D4487F">
        <w:rPr>
          <w:rFonts w:ascii="Times New Roman" w:hAnsi="Times New Roman" w:cs="Times New Roman"/>
          <w:sz w:val="28"/>
          <w:szCs w:val="28"/>
        </w:rPr>
        <w:t>3</w:t>
      </w:r>
      <w:r w:rsidR="00582C41">
        <w:rPr>
          <w:rFonts w:ascii="Times New Roman" w:hAnsi="Times New Roman" w:cs="Times New Roman"/>
          <w:sz w:val="28"/>
          <w:szCs w:val="28"/>
        </w:rPr>
        <w:t xml:space="preserve"> гг.</w:t>
      </w:r>
      <w:r w:rsidR="00582C41" w:rsidRPr="00B9628B">
        <w:rPr>
          <w:rFonts w:ascii="Times New Roman" w:hAnsi="Times New Roman" w:cs="Times New Roman"/>
          <w:sz w:val="28"/>
          <w:szCs w:val="28"/>
        </w:rPr>
        <w:t xml:space="preserve"> индекс пот</w:t>
      </w:r>
      <w:r w:rsidR="00582C41">
        <w:rPr>
          <w:rFonts w:ascii="Times New Roman" w:hAnsi="Times New Roman" w:cs="Times New Roman"/>
          <w:sz w:val="28"/>
          <w:szCs w:val="28"/>
        </w:rPr>
        <w:t xml:space="preserve">ребительских цен к уровню 2019г. при благоприятном </w:t>
      </w:r>
      <w:r w:rsidR="00582C41" w:rsidRPr="00B9628B">
        <w:rPr>
          <w:rFonts w:ascii="Times New Roman" w:hAnsi="Times New Roman" w:cs="Times New Roman"/>
          <w:sz w:val="28"/>
          <w:szCs w:val="28"/>
        </w:rPr>
        <w:t>варианте повышается незначительно на</w:t>
      </w:r>
      <w:r w:rsidR="00582C41">
        <w:rPr>
          <w:rFonts w:ascii="Times New Roman" w:hAnsi="Times New Roman" w:cs="Times New Roman"/>
          <w:sz w:val="28"/>
          <w:szCs w:val="28"/>
        </w:rPr>
        <w:t xml:space="preserve"> 3,1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582C41">
        <w:rPr>
          <w:rFonts w:ascii="Times New Roman" w:hAnsi="Times New Roman" w:cs="Times New Roman"/>
          <w:sz w:val="28"/>
          <w:szCs w:val="28"/>
        </w:rPr>
        <w:t xml:space="preserve"> при консервативном варианте на 3,2 %</w:t>
      </w:r>
      <w:r w:rsidR="00582C41" w:rsidRPr="00B9628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582C41" w:rsidRPr="00B9628B" w:rsidRDefault="00582C41" w:rsidP="00582C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9628B">
        <w:rPr>
          <w:rFonts w:ascii="Times New Roman" w:hAnsi="Times New Roman" w:cs="Times New Roman"/>
          <w:sz w:val="28"/>
          <w:szCs w:val="28"/>
        </w:rPr>
        <w:t xml:space="preserve">Ключевым риском текущего прогноза является возможность ухудшения ситуации в мировой </w:t>
      </w:r>
      <w:r>
        <w:rPr>
          <w:rFonts w:ascii="Times New Roman" w:hAnsi="Times New Roman" w:cs="Times New Roman"/>
          <w:sz w:val="28"/>
          <w:szCs w:val="28"/>
        </w:rPr>
        <w:t>экономике</w:t>
      </w:r>
      <w:r w:rsidRPr="00B9628B">
        <w:rPr>
          <w:rFonts w:ascii="Times New Roman" w:hAnsi="Times New Roman" w:cs="Times New Roman"/>
          <w:sz w:val="28"/>
          <w:szCs w:val="28"/>
        </w:rPr>
        <w:t>, в том числе в краткосрочной перспективе в связи с ухудшением эпидемиологической обстановки</w:t>
      </w:r>
      <w:proofErr w:type="gramStart"/>
      <w:r w:rsidRPr="00B9628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82C41" w:rsidRDefault="00582C41" w:rsidP="00305AE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2. Численность постоянного населения муниципального района (среднегодовая).</w:t>
      </w:r>
    </w:p>
    <w:p w:rsidR="00582C41" w:rsidRPr="00CC4EA2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Демографическая ситуация является одним из важнейших показателей социальной обстановки и главным критерием оценки качества жизни населения.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Главной задачей в сфере демографии по-прежнему остается уменьшение остроты демографического кризиса, снижение темпов естественной убыли населения.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066959">
        <w:rPr>
          <w:rFonts w:ascii="Times New Roman" w:eastAsia="Times New Roman" w:hAnsi="Times New Roman" w:cs="Times New Roman"/>
          <w:sz w:val="28"/>
          <w:szCs w:val="28"/>
        </w:rPr>
        <w:t>По данным Северо-</w:t>
      </w:r>
      <w:proofErr w:type="spellStart"/>
      <w:r w:rsidRPr="00066959">
        <w:rPr>
          <w:rFonts w:ascii="Times New Roman" w:eastAsia="Times New Roman" w:hAnsi="Times New Roman" w:cs="Times New Roman"/>
          <w:sz w:val="28"/>
          <w:szCs w:val="28"/>
        </w:rPr>
        <w:t>Кавказстата</w:t>
      </w:r>
      <w:proofErr w:type="spellEnd"/>
      <w:r w:rsidRPr="00066959">
        <w:rPr>
          <w:rFonts w:ascii="Times New Roman" w:eastAsia="Times New Roman" w:hAnsi="Times New Roman" w:cs="Times New Roman"/>
          <w:sz w:val="28"/>
          <w:szCs w:val="28"/>
        </w:rPr>
        <w:t>, на 01.01.20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66959">
        <w:rPr>
          <w:rFonts w:ascii="Times New Roman" w:eastAsia="Times New Roman" w:hAnsi="Times New Roman" w:cs="Times New Roman"/>
          <w:sz w:val="28"/>
          <w:szCs w:val="28"/>
        </w:rPr>
        <w:t xml:space="preserve"> г. среднегодовая численность постоянного населен</w:t>
      </w:r>
      <w:r>
        <w:rPr>
          <w:rFonts w:ascii="Times New Roman" w:eastAsia="Times New Roman" w:hAnsi="Times New Roman" w:cs="Times New Roman"/>
          <w:sz w:val="28"/>
          <w:szCs w:val="28"/>
        </w:rPr>
        <w:t>ия МО Пригородный  район за 2019</w:t>
      </w:r>
      <w:r w:rsidRPr="00066959">
        <w:rPr>
          <w:rFonts w:ascii="Times New Roman" w:eastAsia="Times New Roman" w:hAnsi="Times New Roman" w:cs="Times New Roman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составила 101,655 тыс. человек, что ниже уровня 2018 года на 1,03%.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Число родившихся в 2019 году составило 1056 человек и уменьшилось незначительно к уровню 2018 года всего на 12 человек или на 1,1%. Коэффициент рождаемости - 10,4.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Число умерших также уменьшилось на 29 человек и составило 843 человека или на 3,3% меньше к уровню 2018 года. Коэффициент смертности - 8,3.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Естественный прирост населения составил 213 человек.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Существенным фактором, влияющим на демографическую ситуацию в районе остается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миграция. 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Так, за отчетный период количество прибывших составило 882 человека, что меньше по сравнению с 2018 годом на 671 человек,  количество выбывших тоже уменьшилось на 871 человек и составило 1725 человек.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По оценке 2020 года среднегодовая численность постоянного населения ожидается на уровне 102300 человек, т.е. на 0,6% больше.</w:t>
      </w:r>
    </w:p>
    <w:p w:rsidR="00582C41" w:rsidRDefault="00582C41" w:rsidP="00582C4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По консервативному варианту демографические показатели на 2021-2023 годы прогнозируются увеличением среднегодовой численности населения в среднем на 835 человек, или на 0,8 %.</w:t>
      </w:r>
    </w:p>
    <w:p w:rsidR="00582C41" w:rsidRDefault="00582C41" w:rsidP="00C6598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При благоприятном варианте планируется увеличение численности на 1345 человек или на 1,3 %.</w:t>
      </w: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 xml:space="preserve">3. Численность </w:t>
      </w:r>
      <w:proofErr w:type="gramStart"/>
      <w:r w:rsidRPr="00CC4EA2">
        <w:rPr>
          <w:rFonts w:ascii="Times New Roman" w:hAnsi="Times New Roman" w:cs="Times New Roman"/>
          <w:b/>
          <w:sz w:val="28"/>
          <w:szCs w:val="28"/>
        </w:rPr>
        <w:t>занятых</w:t>
      </w:r>
      <w:proofErr w:type="gramEnd"/>
      <w:r w:rsidRPr="00CC4EA2">
        <w:rPr>
          <w:rFonts w:ascii="Times New Roman" w:hAnsi="Times New Roman" w:cs="Times New Roman"/>
          <w:b/>
          <w:sz w:val="28"/>
          <w:szCs w:val="28"/>
        </w:rPr>
        <w:t xml:space="preserve"> в экономике </w:t>
      </w:r>
    </w:p>
    <w:p w:rsidR="00582C41" w:rsidRPr="00CC4EA2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муниципального района, за год.</w:t>
      </w:r>
    </w:p>
    <w:p w:rsidR="00582C41" w:rsidRPr="00A661E4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Численность занятых в экономике муниципального района за 2019 год составила 12419 человек или  100,4% к уровню 2018 года.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разрезе отраслей экономической деятельности наибольшую долю занятых в экономике составляют: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торговля оптовая и розничная, ремонт автотранспортных средств – 21%, сельское хозяйство – 15,2 %, обрабатывающее производство –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13,6 %, строительство – 9,7 %, образование – 9,5 %, деятельность по операциям с недвижимым имуществом – 3,6 %, деятельность в области культуры, спорта, организации досуга – 3,0%, деятельность в области здравоохранения и социальных услуг – 2,7 %, деятельность гостиниц и предприятий общественного питания – 1,4%.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Исходя из ситуации, которая сложилась как в целом по республике, так и в районе из-за пандемии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655C">
        <w:rPr>
          <w:rFonts w:ascii="Times New Roman" w:hAnsi="Times New Roman" w:cs="Times New Roman"/>
          <w:sz w:val="28"/>
          <w:szCs w:val="28"/>
        </w:rPr>
        <w:t>-19) прогнозируется</w:t>
      </w:r>
      <w:r>
        <w:rPr>
          <w:rFonts w:ascii="Times New Roman" w:hAnsi="Times New Roman" w:cs="Times New Roman"/>
          <w:sz w:val="28"/>
          <w:szCs w:val="28"/>
        </w:rPr>
        <w:t xml:space="preserve"> на 2021 год снижение численности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экономике на 1,6%.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то же время на прогнозный период при благоприятном варианте, исходя из возможностей сохранения позитивных тенденций развития внешних и внутренних условий и ориентира на улучшение социально-экономической  ситуации численность занятых в экономике увеличится до 4,5 %.</w:t>
      </w:r>
    </w:p>
    <w:p w:rsidR="00305AE4" w:rsidRDefault="00305AE4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4. Среднесписочная числ</w:t>
      </w:r>
      <w:r>
        <w:rPr>
          <w:rFonts w:ascii="Times New Roman" w:hAnsi="Times New Roman" w:cs="Times New Roman"/>
          <w:b/>
          <w:sz w:val="28"/>
          <w:szCs w:val="28"/>
        </w:rPr>
        <w:t xml:space="preserve">енность работников организаций </w:t>
      </w:r>
    </w:p>
    <w:p w:rsidR="00582C41" w:rsidRPr="00CC4EA2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CC4EA2">
        <w:rPr>
          <w:rFonts w:ascii="Times New Roman" w:hAnsi="Times New Roman" w:cs="Times New Roman"/>
          <w:b/>
          <w:sz w:val="28"/>
          <w:szCs w:val="28"/>
        </w:rPr>
        <w:t>без субъек</w:t>
      </w:r>
      <w:r>
        <w:rPr>
          <w:rFonts w:ascii="Times New Roman" w:hAnsi="Times New Roman" w:cs="Times New Roman"/>
          <w:b/>
          <w:sz w:val="28"/>
          <w:szCs w:val="28"/>
        </w:rPr>
        <w:t>тов малого предпринимательства),</w:t>
      </w:r>
      <w:r w:rsidRPr="00CC4EA2">
        <w:rPr>
          <w:rFonts w:ascii="Times New Roman" w:hAnsi="Times New Roman" w:cs="Times New Roman"/>
          <w:b/>
          <w:sz w:val="28"/>
          <w:szCs w:val="28"/>
        </w:rPr>
        <w:t xml:space="preserve"> за год.</w:t>
      </w:r>
    </w:p>
    <w:p w:rsidR="00582C41" w:rsidRDefault="00582C41" w:rsidP="00582C41">
      <w:pPr>
        <w:pStyle w:val="ConsPlusTitle"/>
        <w:spacing w:line="276" w:lineRule="auto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03DA4">
        <w:rPr>
          <w:rFonts w:ascii="Times New Roman" w:hAnsi="Times New Roman" w:cs="Times New Roman"/>
          <w:b w:val="0"/>
          <w:sz w:val="28"/>
          <w:szCs w:val="28"/>
        </w:rPr>
        <w:t xml:space="preserve">Среднесписочная численность работников (без субъектов малого </w:t>
      </w:r>
      <w:r w:rsidRPr="00E03DA4">
        <w:rPr>
          <w:rFonts w:ascii="Times New Roman" w:hAnsi="Times New Roman" w:cs="Times New Roman"/>
          <w:b w:val="0"/>
          <w:sz w:val="28"/>
          <w:szCs w:val="28"/>
        </w:rPr>
        <w:lastRenderedPageBreak/>
        <w:t>предпринимательства)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 2019 г. составила 6,5 тыс. человек,  что больше 2018 года на 16%. Численность работников организаций в районе увеличилась в связи с открытием дошкольных учреждений, групп в дошкольных учреждениях, учреждений здравоохранения, а также постановкой на налоговый учет АО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Спецтепломонтаж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 с численностью работников более 300 человек.</w:t>
      </w:r>
      <w:proofErr w:type="gramEnd"/>
    </w:p>
    <w:p w:rsidR="00582C41" w:rsidRDefault="00582C41" w:rsidP="00582C41">
      <w:pPr>
        <w:pStyle w:val="ConsPlusTitle"/>
        <w:spacing w:line="276" w:lineRule="auto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Численность работников организаций по оценке 2020 года составит 6,6 или 101,5 % к предыдущему году.</w:t>
      </w:r>
    </w:p>
    <w:p w:rsidR="00582C41" w:rsidRDefault="00582C41" w:rsidP="00582C41">
      <w:pPr>
        <w:pStyle w:val="ConsPlusTitle"/>
        <w:spacing w:line="276" w:lineRule="auto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При благоприятном развитии социально-экономической ситуации в районе прогноз на 2021-2023 годы предполагает рост численности работников до 6,8 тыс. человек или 104,6% к уровню 2019 года.</w:t>
      </w:r>
    </w:p>
    <w:p w:rsidR="00582C41" w:rsidRPr="00305AE4" w:rsidRDefault="00582C41" w:rsidP="00305AE4">
      <w:pPr>
        <w:pStyle w:val="ConsPlusTitle"/>
        <w:spacing w:line="276" w:lineRule="auto"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При менее благоприятных тенденциях развития рынка труда и демографической ситуации прогнозируется уменьшение численности работников до 3,0%.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C659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5. Среднемесячная начисленная заработная плата работников организаций (без субъектов малого предпринимательства), за год.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2019 году среднемесячная номинальная начисленная заработная плата работников составила: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-муниципальных дошкольных образовательных учреждений – 16728,9 руб., что на 521,9 рублей (на 3,2%) больше, чем в 2018 году;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муниципальных образовательных учреждений – 21489,8 руб., что на 271,8 руб. (1,3%) больше, чем в 2018 году;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учителей муниципальных образовательных учреждений – 23545,0 руб., что на 57 руб. (0,2%) меньше, чем в 2018 году;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муниципальных учреждений культуры и искусства – 20368,7 руб., что на 165,7 руб. или 0,8% больше 2018 года.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-муниципальных учреждений физической культуры и спорта – 16482,5 руб., что на 4466,5 рублей или на 37% больше, чем в 2018 году.  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 января текущего года также произведена индексация денежного содержания муниципальных служащих РСО – Алания, лиц замещающих муниципальные должности РСО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–А</w:t>
      </w:r>
      <w:proofErr w:type="gramEnd"/>
      <w:r>
        <w:rPr>
          <w:rFonts w:ascii="Times New Roman" w:hAnsi="Times New Roman" w:cs="Times New Roman"/>
          <w:sz w:val="28"/>
          <w:szCs w:val="28"/>
        </w:rPr>
        <w:t>лания, работников муниципальных органов, замещающих должности, не являющиеся должностями муниципальной гражданской службы РСО – Алания и иных категорий работников муниципальных учреждений на 4,3% фонда оплаты труда.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2020 году продолжится реализация Указов Президента РФ от 7 мая 2012 года №597, направленные на увеличение заработной платы работникам образовательных учреждений и работникам учреждений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культуры, увеличением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11280 до 12130 рублей.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 оценке текущего года размер среднемесячной начисленной заработной платы работников организации (</w:t>
      </w:r>
      <w:r w:rsidRPr="00567EF4">
        <w:rPr>
          <w:rFonts w:ascii="Times New Roman" w:hAnsi="Times New Roman" w:cs="Times New Roman"/>
          <w:sz w:val="28"/>
          <w:szCs w:val="28"/>
        </w:rPr>
        <w:t>без субъектов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) составит 28663 руб. или 103,4% к уровню прошлого года.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 консервативном варианте расчета прогноза социально-экономического развития предполагает ежегодное увеличение реальной заработной платы 2-6%.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 благоприятном варианте рост заработной платы к уровню 2020 года составит: 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105,5%,  2022 – 114,0%,  2023 – 125,3%.</w:t>
      </w:r>
    </w:p>
    <w:p w:rsidR="00582C41" w:rsidRDefault="00582C41" w:rsidP="0058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EA2">
        <w:rPr>
          <w:rFonts w:ascii="Times New Roman" w:hAnsi="Times New Roman" w:cs="Times New Roman"/>
          <w:b/>
          <w:sz w:val="28"/>
          <w:szCs w:val="28"/>
        </w:rPr>
        <w:t>6. Уровень зарегистрированной безработицы (на конец года).</w:t>
      </w:r>
    </w:p>
    <w:p w:rsidR="00582C41" w:rsidRPr="00CC4EA2" w:rsidRDefault="00582C41" w:rsidP="00582C4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Уровень зарегистрированной безработицы в МО Пригородный район в 2019 году составил 1,6% от общей численности экономически активного населения, что выше данного показателя по сравнению с  2018 г. на 0,9%.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 2019г. в Центр занятости населения по Пригородному району за содействием в поиске подходящей работы обратилось 1995чел., что на 281 чел., или 14,0 %  больше, чем за 2018г.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 числа обратившихся  официальный статус безработных получили 1686 чел.  Это   больше,  чем в 2018г. на 307 чел. или 18,2 %. 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 2019 г. в Центр занятости поступили сведения о 1320  вакансиях  от 209 работодателей. Вакансии по рабочим профессиям  составляют 67 %, по специалистам – 33%. Среди рабочих  лидирует  спрос на дворников, сторожей. Среди служащих спрос на такие профессии, как  учителя, врачи, медсестры, слесари.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 отчетный период было трудоустроено 24 чел. на вакантные места. 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Проведено 6 ярмарок, в них приняло участие 85 чел.,15 работодателей.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специальных программах  занятости приняли участие 1923 чел., в том числе: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-организация  проведения оплачиваемых общественных работ – 47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-организация временного трудоустройства безработных граждан,  испытывающих  трудности в поиске работы – 14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-временное трудоустройство  несовершеннолетних  граждан в возрасте от 14 до 18 лет в свободное от учебы время – 93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-получили услуги по  профориентации – 1436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-по социальной адаптации – 162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-по психологической  поддержке – 164 чел.;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направлено на стажировку – 7 чел.</w:t>
      </w:r>
    </w:p>
    <w:p w:rsidR="00582C41" w:rsidRPr="009A51BD" w:rsidRDefault="00582C41" w:rsidP="00582C4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A51B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Назначено пособие по безработице за отчетный год 1686 безработным гражданам (минимальный размер – 1500 руб.; максимальный – 8000 руб.).</w:t>
      </w:r>
    </w:p>
    <w:p w:rsidR="00582C41" w:rsidRPr="00CC4EA2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Остается актуальной проблема несбалансированности рынка труда. При растущем спросе имеется дефицит предложения рабочей силы по профессиям, требующим среднее профессионального образования (электриков, трактористов, машинистов бульдозера, экскаватора, башенного крана и т. д.). </w:t>
      </w:r>
    </w:p>
    <w:p w:rsidR="00582C41" w:rsidRPr="00CC4EA2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Calibri" w:hAnsi="Times New Roman" w:cs="Times New Roman"/>
          <w:sz w:val="28"/>
          <w:szCs w:val="28"/>
        </w:rPr>
        <w:t>Не все р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аботодатели  падают сведения о свободных рабочих местах. </w:t>
      </w:r>
      <w:proofErr w:type="gramStart"/>
      <w:r w:rsidRPr="00CC4EA2">
        <w:rPr>
          <w:rFonts w:ascii="Times New Roman" w:eastAsia="Calibri" w:hAnsi="Times New Roman" w:cs="Times New Roman"/>
          <w:sz w:val="28"/>
          <w:szCs w:val="28"/>
        </w:rPr>
        <w:t xml:space="preserve">Самые распространенные причины, затрудняющие подбор подходящей работы – это низкий уровень заработной платы, несоответствие спроса  и предложения рабочей силы, трудоустройство молодых людей, впервые ищущих работу, крайне </w:t>
      </w:r>
      <w:r w:rsidRPr="00CC4EA2">
        <w:rPr>
          <w:rFonts w:ascii="Times New Roman" w:eastAsia="Calibri" w:hAnsi="Times New Roman" w:cs="Times New Roman"/>
          <w:bCs/>
          <w:sz w:val="28"/>
          <w:szCs w:val="28"/>
        </w:rPr>
        <w:t>актуальной</w:t>
      </w:r>
      <w:r w:rsidRPr="00CC4EA2">
        <w:rPr>
          <w:rFonts w:ascii="Times New Roman" w:eastAsia="Calibri" w:hAnsi="Times New Roman" w:cs="Times New Roman"/>
          <w:sz w:val="28"/>
          <w:szCs w:val="28"/>
        </w:rPr>
        <w:t xml:space="preserve"> является проблема занятости и трудоустройства инвалидов ввиду того, что очень часто под абсолютно разными предлогами их не трудоустраивают. </w:t>
      </w:r>
      <w:proofErr w:type="gramEnd"/>
    </w:p>
    <w:p w:rsidR="00582C41" w:rsidRPr="00CC4EA2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>Служба занятости продолжит реализацию   программ занятости и выплату пособий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безработице и на период до 2023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582C41" w:rsidRPr="00CC4EA2" w:rsidRDefault="00582C41" w:rsidP="00582C41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По консервативному варианту в прогнозном периоде уровень безработицы вырастет  до </w:t>
      </w:r>
      <w:r>
        <w:rPr>
          <w:rFonts w:ascii="Times New Roman" w:eastAsia="Times New Roman" w:hAnsi="Times New Roman" w:cs="Times New Roman"/>
          <w:sz w:val="28"/>
          <w:szCs w:val="28"/>
        </w:rPr>
        <w:t>2,6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582C41" w:rsidRDefault="00582C41" w:rsidP="00582C41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EA2">
        <w:rPr>
          <w:rFonts w:ascii="Times New Roman" w:eastAsia="Times New Roman" w:hAnsi="Times New Roman" w:cs="Times New Roman"/>
          <w:sz w:val="28"/>
          <w:szCs w:val="28"/>
        </w:rPr>
        <w:t>По благоприятному варианту уровень безработицы снизится   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2,3</w:t>
      </w:r>
      <w:r w:rsidRPr="00CC4EA2">
        <w:rPr>
          <w:rFonts w:ascii="Times New Roman" w:eastAsia="Times New Roman" w:hAnsi="Times New Roman" w:cs="Times New Roman"/>
          <w:sz w:val="28"/>
          <w:szCs w:val="28"/>
        </w:rPr>
        <w:t xml:space="preserve"> %.</w:t>
      </w:r>
    </w:p>
    <w:p w:rsidR="00582C41" w:rsidRDefault="00582C41" w:rsidP="00305AE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2C41" w:rsidRDefault="00582C41" w:rsidP="00582C4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31CD">
        <w:rPr>
          <w:rFonts w:ascii="Times New Roman" w:eastAsia="Times New Roman" w:hAnsi="Times New Roman" w:cs="Times New Roman"/>
          <w:b/>
          <w:sz w:val="28"/>
          <w:szCs w:val="28"/>
        </w:rPr>
        <w:t>7. Ввод в эксплуатацию жилых домов (общая площадь).</w:t>
      </w:r>
    </w:p>
    <w:p w:rsidR="00582C41" w:rsidRDefault="00582C41" w:rsidP="00582C41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2C41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2C216E">
        <w:rPr>
          <w:rFonts w:ascii="Times New Roman" w:eastAsia="Times New Roman" w:hAnsi="Times New Roman" w:cs="Times New Roman"/>
          <w:sz w:val="28"/>
          <w:szCs w:val="28"/>
        </w:rPr>
        <w:t>Ввод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эксплуатацию жилых домов на территории района обеспечивается за счёт строительства и реконструкции индивидуальных жилых домов. </w:t>
      </w:r>
    </w:p>
    <w:p w:rsidR="00582C41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Строительство многоквартирных домов на территории района не ведется.</w:t>
      </w:r>
    </w:p>
    <w:p w:rsidR="00582C41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В 2019 году введено в эксплуатацию 264 жилых домов, площадью 18,298 кв.м., что на 27,3 кв.м. больше, чем за аналогичный период 2018 года.</w:t>
      </w:r>
    </w:p>
    <w:p w:rsidR="00582C41" w:rsidRPr="002C216E" w:rsidRDefault="00582C41" w:rsidP="00582C41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В прогнозном периоде в районе продолжится стабильный рост строительства жилых домов и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консервативному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по благоприятному вариантам.</w:t>
      </w:r>
    </w:p>
    <w:p w:rsidR="00EE5768" w:rsidRDefault="00EE5768">
      <w:bookmarkStart w:id="0" w:name="_GoBack"/>
      <w:bookmarkEnd w:id="0"/>
    </w:p>
    <w:sectPr w:rsidR="00EE5768" w:rsidSect="00C65982">
      <w:pgSz w:w="11906" w:h="16838"/>
      <w:pgMar w:top="1134" w:right="1276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D6E12"/>
    <w:rsid w:val="001252D9"/>
    <w:rsid w:val="002050E3"/>
    <w:rsid w:val="00305AE4"/>
    <w:rsid w:val="00582C41"/>
    <w:rsid w:val="006A1AC1"/>
    <w:rsid w:val="006D6E12"/>
    <w:rsid w:val="00C65982"/>
    <w:rsid w:val="00C95102"/>
    <w:rsid w:val="00D4487F"/>
    <w:rsid w:val="00D567BE"/>
    <w:rsid w:val="00EE5768"/>
    <w:rsid w:val="00F0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D6E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A1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A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1521</Words>
  <Characters>8672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ella-pc</cp:lastModifiedBy>
  <cp:revision>11</cp:revision>
  <cp:lastPrinted>2020-08-05T08:20:00Z</cp:lastPrinted>
  <dcterms:created xsi:type="dcterms:W3CDTF">2020-07-20T09:09:00Z</dcterms:created>
  <dcterms:modified xsi:type="dcterms:W3CDTF">2020-08-05T08:20:00Z</dcterms:modified>
</cp:coreProperties>
</file>